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9/8 -  </w:t>
      </w:r>
      <w:r w:rsidDel="00000000" w:rsidR="00000000" w:rsidRPr="00000000">
        <w:rPr>
          <w:rFonts w:ascii="Times New Roman" w:cs="Times New Roman" w:eastAsia="Times New Roman" w:hAnsi="Times New Roman"/>
          <w:sz w:val="26"/>
          <w:szCs w:val="26"/>
          <w:rtl w:val="0"/>
        </w:rPr>
        <w:t xml:space="preserve"> Nature of Mankind and Fall Part 2</w:t>
      </w:r>
    </w:p>
    <w:p w:rsidR="00000000" w:rsidDel="00000000" w:rsidP="00000000" w:rsidRDefault="00000000" w:rsidRPr="00000000" w14:paraId="00000002">
      <w:pPr>
        <w:spacing w:after="280" w:before="280" w:line="312"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13. Did our first parents continue in the estate wherein they were created?</w:t>
        <w:br w:type="textWrapping"/>
        <w:t xml:space="preserve">Our first parents, being left to the freedom of their own will, fell from the estate wherein they were created, by sinning against God.</w:t>
      </w:r>
    </w:p>
    <w:p w:rsidR="00000000" w:rsidDel="00000000" w:rsidP="00000000" w:rsidRDefault="00000000" w:rsidRPr="00000000" w14:paraId="00000003">
      <w:pPr>
        <w:spacing w:after="280" w:before="280" w:line="312"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14. What is sin?</w:t>
        <w:br w:type="textWrapping"/>
        <w:t xml:space="preserve">Sin is any want of conformity unto, or transgression of, the law of God.</w:t>
      </w:r>
    </w:p>
    <w:p w:rsidR="00000000" w:rsidDel="00000000" w:rsidP="00000000" w:rsidRDefault="00000000" w:rsidRPr="00000000" w14:paraId="00000004">
      <w:pPr>
        <w:spacing w:after="280" w:before="280" w:line="312"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15. What was the sin whereby our first parents fell from the estate wherein they were created?</w:t>
        <w:br w:type="textWrapping"/>
        <w:t xml:space="preserve">The sin whereby our first parents fell from the estate wherein they were created was their eating the forbidden fruit.</w:t>
      </w:r>
    </w:p>
    <w:p w:rsidR="00000000" w:rsidDel="00000000" w:rsidP="00000000" w:rsidRDefault="00000000" w:rsidRPr="00000000" w14:paraId="00000005">
      <w:pPr>
        <w:spacing w:after="280" w:before="280" w:line="312"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16. Did all mankind fall in Adam’s first transgression?</w:t>
        <w:br w:type="textWrapping"/>
        <w:t xml:space="preserve">The covenant being made with Adam, not only for himself, but for his posterity; all mankind, descending from him by ordinary generation, sinned in him, and fell with him in his first transgression.</w:t>
      </w:r>
    </w:p>
    <w:p w:rsidR="00000000" w:rsidDel="00000000" w:rsidP="00000000" w:rsidRDefault="00000000" w:rsidRPr="00000000" w14:paraId="00000006">
      <w:pPr>
        <w:spacing w:after="280" w:before="28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333333"/>
          <w:sz w:val="26"/>
          <w:szCs w:val="26"/>
          <w:rtl w:val="0"/>
        </w:rPr>
        <w:t xml:space="preserve">17. Into what estate did the fall bring mankind?</w:t>
        <w:br w:type="textWrapping"/>
        <w:t xml:space="preserve">The fall brought mankind into an estate of sin and misery.</w:t>
      </w:r>
      <w:r w:rsidDel="00000000" w:rsidR="00000000" w:rsidRPr="00000000">
        <w:rPr>
          <w:rtl w:val="0"/>
        </w:rPr>
      </w:r>
    </w:p>
    <w:p w:rsidR="00000000" w:rsidDel="00000000" w:rsidP="00000000" w:rsidRDefault="00000000" w:rsidRPr="00000000" w14:paraId="00000007">
      <w:pPr>
        <w:pStyle w:val="Heading4"/>
        <w:keepNext w:val="0"/>
        <w:keepLines w:val="0"/>
        <w:spacing w:after="0" w:before="0" w:line="312" w:lineRule="auto"/>
        <w:rPr>
          <w:rFonts w:ascii="Times New Roman" w:cs="Times New Roman" w:eastAsia="Times New Roman" w:hAnsi="Times New Roman"/>
          <w:color w:val="000000"/>
          <w:sz w:val="26"/>
          <w:szCs w:val="26"/>
          <w:shd w:fill="eceff1" w:val="clear"/>
        </w:rPr>
      </w:pPr>
      <w:bookmarkStart w:colFirst="0" w:colLast="0" w:name="_6f7nehtbh7bs" w:id="0"/>
      <w:bookmarkEnd w:id="0"/>
      <w:r w:rsidDel="00000000" w:rsidR="00000000" w:rsidRPr="00000000">
        <w:rPr>
          <w:rtl w:val="0"/>
        </w:rPr>
      </w:r>
    </w:p>
    <w:p w:rsidR="00000000" w:rsidDel="00000000" w:rsidP="00000000" w:rsidRDefault="00000000" w:rsidRPr="00000000" w14:paraId="00000008">
      <w:pPr>
        <w:pStyle w:val="Heading4"/>
        <w:keepNext w:val="0"/>
        <w:keepLines w:val="0"/>
        <w:spacing w:after="0" w:before="0" w:line="312" w:lineRule="auto"/>
        <w:rPr>
          <w:rFonts w:ascii="Times New Roman" w:cs="Times New Roman" w:eastAsia="Times New Roman" w:hAnsi="Times New Roman"/>
        </w:rPr>
      </w:pPr>
      <w:bookmarkStart w:colFirst="0" w:colLast="0" w:name="_3z64zl1auzhb" w:id="1"/>
      <w:bookmarkEnd w:id="1"/>
      <w:r w:rsidDel="00000000" w:rsidR="00000000" w:rsidRPr="00000000">
        <w:rPr>
          <w:rFonts w:ascii="Times New Roman" w:cs="Times New Roman" w:eastAsia="Times New Roman" w:hAnsi="Times New Roman"/>
          <w:color w:val="000000"/>
          <w:sz w:val="26"/>
          <w:szCs w:val="26"/>
          <w:shd w:fill="eceff1" w:val="clear"/>
          <w:rtl w:val="0"/>
        </w:rPr>
        <w:t xml:space="preserve">Upcoming Weeks Preview: </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9/15 - Of Mankind’s Free Will</w:t>
      </w:r>
    </w:p>
    <w:p w:rsidR="00000000" w:rsidDel="00000000" w:rsidP="00000000" w:rsidRDefault="00000000" w:rsidRPr="00000000" w14:paraId="0000000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WSC 18-19, 39-41 &amp; Confession Ch 9 - of Free Will </w:t>
      </w:r>
    </w:p>
    <w:p w:rsidR="00000000" w:rsidDel="00000000" w:rsidP="00000000" w:rsidRDefault="00000000" w:rsidRPr="00000000" w14:paraId="0000000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9/22 - Of Christian Liberty, and Liberty of Conscience</w:t>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WSC 83-85, 95-97 &amp; CHAPTER 20 - Of Christian Liberty</w:t>
      </w:r>
    </w:p>
    <w:p w:rsidR="00000000" w:rsidDel="00000000" w:rsidP="00000000" w:rsidRDefault="00000000" w:rsidRPr="00000000" w14:paraId="0000000F">
      <w:pPr>
        <w:rPr>
          <w:sz w:val="30"/>
          <w:szCs w:val="30"/>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9/29 - The Person and Work of Christ part 1</w:t>
      </w:r>
    </w:p>
    <w:p w:rsidR="00000000" w:rsidDel="00000000" w:rsidP="00000000" w:rsidRDefault="00000000" w:rsidRPr="00000000" w14:paraId="0000001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WSC 21-25 &amp; CHAPTER 8 - </w:t>
      </w:r>
      <w:r w:rsidDel="00000000" w:rsidR="00000000" w:rsidRPr="00000000">
        <w:rPr>
          <w:rFonts w:ascii="Times New Roman" w:cs="Times New Roman" w:eastAsia="Times New Roman" w:hAnsi="Times New Roman"/>
          <w:i w:val="0"/>
          <w:color w:val="000000"/>
          <w:sz w:val="26"/>
          <w:szCs w:val="26"/>
          <w:rtl w:val="0"/>
        </w:rPr>
        <w:t xml:space="preserve">Of Christ the Mediator</w:t>
      </w:r>
      <w:r w:rsidDel="00000000" w:rsidR="00000000" w:rsidRPr="00000000">
        <w:rPr>
          <w:rtl w:val="0"/>
        </w:rPr>
      </w:r>
    </w:p>
    <w:p w:rsidR="00000000" w:rsidDel="00000000" w:rsidP="00000000" w:rsidRDefault="00000000" w:rsidRPr="00000000" w14:paraId="00000012">
      <w:pPr>
        <w:pStyle w:val="Heading6"/>
        <w:keepNext w:val="0"/>
        <w:keepLines w:val="0"/>
        <w:spacing w:after="0" w:before="0" w:line="312" w:lineRule="auto"/>
        <w:rPr>
          <w:rFonts w:ascii="Times New Roman" w:cs="Times New Roman" w:eastAsia="Times New Roman" w:hAnsi="Times New Roman"/>
          <w:i w:val="0"/>
          <w:color w:val="000000"/>
          <w:sz w:val="26"/>
          <w:szCs w:val="26"/>
        </w:rPr>
      </w:pPr>
      <w:bookmarkStart w:colFirst="0" w:colLast="0" w:name="_cntdw6n6w8o0" w:id="2"/>
      <w:bookmarkEnd w:id="2"/>
      <w:r w:rsidDel="00000000" w:rsidR="00000000" w:rsidRPr="00000000">
        <w:rPr>
          <w:rtl w:val="0"/>
        </w:rPr>
      </w:r>
    </w:p>
    <w:p w:rsidR="00000000" w:rsidDel="00000000" w:rsidP="00000000" w:rsidRDefault="00000000" w:rsidRPr="00000000" w14:paraId="00000013">
      <w:pPr>
        <w:pStyle w:val="Heading4"/>
        <w:keepNext w:val="0"/>
        <w:keepLines w:val="0"/>
        <w:spacing w:after="0" w:before="0" w:line="312" w:lineRule="auto"/>
        <w:rPr>
          <w:rFonts w:ascii="Times New Roman" w:cs="Times New Roman" w:eastAsia="Times New Roman" w:hAnsi="Times New Roman"/>
          <w:color w:val="000000"/>
          <w:sz w:val="26"/>
          <w:szCs w:val="26"/>
        </w:rPr>
      </w:pPr>
      <w:bookmarkStart w:colFirst="0" w:colLast="0" w:name="_wwwgnlfo6vo1" w:id="3"/>
      <w:bookmarkEnd w:id="3"/>
      <w:r w:rsidDel="00000000" w:rsidR="00000000" w:rsidRPr="00000000">
        <w:rPr>
          <w:rtl w:val="0"/>
        </w:rPr>
      </w:r>
    </w:p>
    <w:p w:rsidR="00000000" w:rsidDel="00000000" w:rsidP="00000000" w:rsidRDefault="00000000" w:rsidRPr="00000000" w14:paraId="00000014">
      <w:pPr>
        <w:pStyle w:val="Heading4"/>
        <w:keepNext w:val="0"/>
        <w:keepLines w:val="0"/>
        <w:spacing w:after="0" w:before="0" w:line="312" w:lineRule="auto"/>
        <w:rPr>
          <w:rFonts w:ascii="Times New Roman" w:cs="Times New Roman" w:eastAsia="Times New Roman" w:hAnsi="Times New Roman"/>
          <w:color w:val="000000"/>
          <w:sz w:val="26"/>
          <w:szCs w:val="26"/>
        </w:rPr>
      </w:pPr>
      <w:bookmarkStart w:colFirst="0" w:colLast="0" w:name="_tmn5z6b392ua" w:id="4"/>
      <w:bookmarkEnd w:id="4"/>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4"/>
        <w:keepNext w:val="0"/>
        <w:keepLines w:val="0"/>
        <w:spacing w:after="0" w:before="0" w:line="312" w:lineRule="auto"/>
        <w:rPr>
          <w:rFonts w:ascii="Times New Roman" w:cs="Times New Roman" w:eastAsia="Times New Roman" w:hAnsi="Times New Roman"/>
          <w:color w:val="000000"/>
          <w:sz w:val="26"/>
          <w:szCs w:val="26"/>
        </w:rPr>
      </w:pPr>
      <w:bookmarkStart w:colFirst="0" w:colLast="0" w:name="_aq8rn5qtk219" w:id="5"/>
      <w:bookmarkEnd w:id="5"/>
      <w:r w:rsidDel="00000000" w:rsidR="00000000" w:rsidRPr="00000000">
        <w:rPr>
          <w:rtl w:val="0"/>
        </w:rPr>
      </w:r>
    </w:p>
    <w:p w:rsidR="00000000" w:rsidDel="00000000" w:rsidP="00000000" w:rsidRDefault="00000000" w:rsidRPr="00000000" w14:paraId="00000017">
      <w:pPr>
        <w:pStyle w:val="Heading4"/>
        <w:keepNext w:val="0"/>
        <w:keepLines w:val="0"/>
        <w:spacing w:after="0" w:before="0" w:line="312" w:lineRule="auto"/>
        <w:rPr>
          <w:rFonts w:ascii="Times New Roman" w:cs="Times New Roman" w:eastAsia="Times New Roman" w:hAnsi="Times New Roman"/>
          <w:color w:val="000000"/>
          <w:sz w:val="26"/>
          <w:szCs w:val="26"/>
        </w:rPr>
      </w:pPr>
      <w:bookmarkStart w:colFirst="0" w:colLast="0" w:name="_sdqphsbayvd4" w:id="6"/>
      <w:bookmarkEnd w:id="6"/>
      <w:r w:rsidDel="00000000" w:rsidR="00000000" w:rsidRPr="00000000">
        <w:rPr>
          <w:rFonts w:ascii="Times New Roman" w:cs="Times New Roman" w:eastAsia="Times New Roman" w:hAnsi="Times New Roman"/>
          <w:color w:val="000000"/>
          <w:sz w:val="26"/>
          <w:szCs w:val="26"/>
          <w:rtl w:val="0"/>
        </w:rPr>
        <w:t xml:space="preserve">CHAPTER 7</w:t>
      </w:r>
    </w:p>
    <w:p w:rsidR="00000000" w:rsidDel="00000000" w:rsidP="00000000" w:rsidRDefault="00000000" w:rsidRPr="00000000" w14:paraId="00000018">
      <w:pPr>
        <w:pStyle w:val="Heading6"/>
        <w:keepNext w:val="0"/>
        <w:keepLines w:val="0"/>
        <w:spacing w:after="0" w:before="0" w:line="312" w:lineRule="auto"/>
        <w:rPr>
          <w:rFonts w:ascii="Times New Roman" w:cs="Times New Roman" w:eastAsia="Times New Roman" w:hAnsi="Times New Roman"/>
          <w:i w:val="0"/>
          <w:color w:val="000000"/>
          <w:sz w:val="26"/>
          <w:szCs w:val="26"/>
        </w:rPr>
      </w:pPr>
      <w:bookmarkStart w:colFirst="0" w:colLast="0" w:name="_iaiubbt14u56" w:id="7"/>
      <w:bookmarkEnd w:id="7"/>
      <w:r w:rsidDel="00000000" w:rsidR="00000000" w:rsidRPr="00000000">
        <w:rPr>
          <w:rFonts w:ascii="Times New Roman" w:cs="Times New Roman" w:eastAsia="Times New Roman" w:hAnsi="Times New Roman"/>
          <w:i w:val="0"/>
          <w:color w:val="000000"/>
          <w:sz w:val="26"/>
          <w:szCs w:val="26"/>
          <w:rtl w:val="0"/>
        </w:rPr>
        <w:t xml:space="preserve">Of God’s Covenant with Man</w:t>
      </w:r>
    </w:p>
    <w:p w:rsidR="00000000" w:rsidDel="00000000" w:rsidP="00000000" w:rsidRDefault="00000000" w:rsidRPr="00000000" w14:paraId="00000019">
      <w:pPr>
        <w:numPr>
          <w:ilvl w:val="0"/>
          <w:numId w:val="1"/>
        </w:numPr>
        <w:spacing w:after="0" w:afterAutospacing="0" w:before="28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The distance between God and the creature is so great, that although reasonable creatures do owe obedience unto Him as their Creator, yet they could never have any fruition of Him, as their blessedness and reward, but by some voluntary condescension on God’s part, which He hath been pleased to express by way of covenant.</w:t>
      </w:r>
    </w:p>
    <w:p w:rsidR="00000000" w:rsidDel="00000000" w:rsidP="00000000" w:rsidRDefault="00000000" w:rsidRPr="00000000" w14:paraId="0000001A">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The first covenant made with man was a covenant of works, wherein life was promised to Adam, and in him to his posterity, upon condition of perfect and personal obedience.</w:t>
      </w:r>
    </w:p>
    <w:p w:rsidR="00000000" w:rsidDel="00000000" w:rsidP="00000000" w:rsidRDefault="00000000" w:rsidRPr="00000000" w14:paraId="0000001B">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Man by his fall having made himself incapable of life by that covenant, the Lord was pleased to make a second, commonly called the covenant of grace: wherein He freely offered unto sinners life and salvation by Jesus Christ, requiring of them faith in Him, that they may be saved, and promising to give unto all those that are ordained unto life, His Holy Spirit, to make them willing and able to believe.</w:t>
      </w:r>
    </w:p>
    <w:p w:rsidR="00000000" w:rsidDel="00000000" w:rsidP="00000000" w:rsidRDefault="00000000" w:rsidRPr="00000000" w14:paraId="0000001C">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This covenant of grace is frequently set forth in the Scripture by the name of a testament, in reference to the death of Jesus Christ, the testator, and to the everlasting inheritance, with all things belonging to it, therein bequeathed.</w:t>
      </w:r>
    </w:p>
    <w:p w:rsidR="00000000" w:rsidDel="00000000" w:rsidP="00000000" w:rsidRDefault="00000000" w:rsidRPr="00000000" w14:paraId="0000001D">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This covenant was differently administered in the time of the law, and in the time of the gospel: under the law it was administered by promises, prophecies, sacrifices, circumcision, the paschal lamb, and other types and ordinances delivered to the people of the Jews, all fore-signifying Christ to come, which were for that time sufficient and efficacious, through the operation of the Spirit, to instruct and build up the elect in faith in the promised Messiah, by whom they had full remission of sins, and eternal salvation, and is called the Old Testament.</w:t>
      </w:r>
    </w:p>
    <w:p w:rsidR="00000000" w:rsidDel="00000000" w:rsidP="00000000" w:rsidRDefault="00000000" w:rsidRPr="00000000" w14:paraId="0000001E">
      <w:pPr>
        <w:numPr>
          <w:ilvl w:val="0"/>
          <w:numId w:val="1"/>
        </w:numPr>
        <w:spacing w:after="28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Under the gospel, when Christ the substance was exhibited, the ordinances in which this covenant is dispensed, are the preaching of the Word, and the administration of the sacraments of baptism and the Lord’s Supper; which, though fewer in number, and administered with more simplicity and less outward glory, yet in them it is held forth in more fullness, evidence, and spiritual efficacy, to all nations, both Jews and Gentiles; and is called the New Testament. There are not, therefore, two covenants of grace differing in substance, but one and the same under various dispensations.</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33333"/>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